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黑体"/>
        </w:rPr>
      </w:pPr>
    </w:p>
    <w:p>
      <w:pPr>
        <w:spacing w:line="600" w:lineRule="exact"/>
        <w:rPr>
          <w:rFonts w:ascii="仿宋_GB2312" w:hAnsi="黑体"/>
        </w:rPr>
      </w:pPr>
    </w:p>
    <w:p>
      <w:pPr>
        <w:spacing w:line="600" w:lineRule="exact"/>
        <w:rPr>
          <w:rFonts w:ascii="仿宋_GB2312" w:hAnsi="黑体"/>
        </w:rPr>
      </w:pPr>
    </w:p>
    <w:p>
      <w:pPr>
        <w:spacing w:line="600" w:lineRule="exact"/>
        <w:rPr>
          <w:rFonts w:ascii="仿宋_GB2312" w:hAnsi="黑体"/>
        </w:rPr>
      </w:pPr>
    </w:p>
    <w:p>
      <w:pPr>
        <w:spacing w:line="600" w:lineRule="exact"/>
        <w:rPr>
          <w:rFonts w:ascii="仿宋_GB2312" w:hAnsi="黑体"/>
        </w:rPr>
      </w:pPr>
    </w:p>
    <w:p>
      <w:pPr>
        <w:spacing w:line="600" w:lineRule="exact"/>
        <w:rPr>
          <w:rFonts w:ascii="仿宋_GB2312" w:hAnsi="黑体"/>
        </w:rPr>
      </w:pPr>
    </w:p>
    <w:p>
      <w:pPr>
        <w:spacing w:line="600" w:lineRule="exact"/>
        <w:jc w:val="center"/>
        <w:rPr>
          <w:rFonts w:ascii="仿宋_GB2312"/>
        </w:rPr>
      </w:pPr>
    </w:p>
    <w:p>
      <w:pPr>
        <w:jc w:val="center"/>
        <w:rPr>
          <w:rFonts w:ascii="仿宋_GB2312" w:hAnsi="Calibri" w:eastAsia="仿宋_GB2312"/>
          <w:sz w:val="32"/>
          <w:szCs w:val="32"/>
        </w:rPr>
      </w:pPr>
      <w:r>
        <w:rPr>
          <w:rFonts w:hint="eastAsia" w:ascii="仿宋_GB2312" w:hAnsi="Calibri" w:eastAsia="仿宋_GB2312"/>
          <w:sz w:val="32"/>
          <w:szCs w:val="32"/>
        </w:rPr>
        <w:t>榕</w:t>
      </w:r>
      <w:r>
        <w:rPr>
          <w:rFonts w:hint="eastAsia" w:ascii="仿宋_GB2312" w:hAnsi="宋体" w:eastAsia="仿宋_GB2312" w:cs="宋体"/>
          <w:sz w:val="32"/>
          <w:szCs w:val="32"/>
        </w:rPr>
        <w:t>协办〔</w:t>
      </w:r>
      <w:r>
        <w:rPr>
          <w:rFonts w:hint="eastAsia" w:ascii="仿宋_GB2312" w:hAnsi="Calibri" w:eastAsia="仿宋_GB2312"/>
          <w:sz w:val="32"/>
          <w:szCs w:val="32"/>
        </w:rPr>
        <w:t>2017</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80</w:t>
      </w:r>
      <w:r>
        <w:rPr>
          <w:rFonts w:hint="eastAsia" w:ascii="仿宋_GB2312" w:hAnsi="Calibri" w:eastAsia="仿宋_GB2312"/>
          <w:sz w:val="32"/>
          <w:szCs w:val="32"/>
        </w:rPr>
        <w:t>号</w:t>
      </w:r>
    </w:p>
    <w:p>
      <w:pPr>
        <w:jc w:val="center"/>
        <w:rPr>
          <w:rFonts w:ascii="仿宋_GB2312" w:hAnsi="Calibri" w:eastAsia="仿宋_GB2312"/>
          <w:sz w:val="32"/>
          <w:szCs w:val="32"/>
        </w:rPr>
      </w:pPr>
    </w:p>
    <w:p>
      <w:pPr>
        <w:jc w:val="center"/>
        <w:rPr>
          <w:rFonts w:ascii="仿宋_GB2312" w:hAnsi="Calibri" w:eastAsia="仿宋_GB2312"/>
          <w:sz w:val="32"/>
          <w:szCs w:val="32"/>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福州市政协办公厅</w:t>
      </w:r>
    </w:p>
    <w:p>
      <w:pPr>
        <w:spacing w:line="560"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关于印发《中国人民政治协商会议福州市委员会</w:t>
      </w:r>
      <w:bookmarkStart w:id="0" w:name="_GoBack"/>
      <w:bookmarkEnd w:id="0"/>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主席会议工作规则》的通知</w:t>
      </w:r>
    </w:p>
    <w:p>
      <w:pPr>
        <w:jc w:val="center"/>
        <w:rPr>
          <w:rFonts w:ascii="仿宋_GB2312" w:hAnsi="Calibri" w:eastAsia="仿宋_GB2312"/>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各委、办、室，机关党委：</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《中国人民政治协商会议福州市委员会主席会议工作规则》已经市政协十三届委员会第四次主席会议审议通过，现印发给你们，请结合实际认真贯彻执行。</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20" w:lineRule="exact"/>
        <w:ind w:firstLine="5680" w:firstLineChars="1775"/>
        <w:jc w:val="left"/>
        <w:rPr>
          <w:rFonts w:ascii="仿宋" w:hAnsi="仿宋" w:eastAsia="仿宋" w:cs="仿宋"/>
          <w:sz w:val="32"/>
          <w:szCs w:val="32"/>
        </w:rPr>
      </w:pPr>
      <w:r>
        <w:rPr>
          <w:rFonts w:hint="eastAsia" w:ascii="仿宋" w:hAnsi="仿宋" w:eastAsia="仿宋" w:cs="仿宋"/>
          <w:sz w:val="32"/>
          <w:szCs w:val="32"/>
        </w:rPr>
        <w:t>福州市政协办公厅</w:t>
      </w:r>
    </w:p>
    <w:p>
      <w:pPr>
        <w:spacing w:line="520" w:lineRule="exact"/>
        <w:ind w:firstLine="5680" w:firstLineChars="1775"/>
        <w:jc w:val="left"/>
        <w:rPr>
          <w:rFonts w:ascii="仿宋" w:hAnsi="仿宋" w:eastAsia="仿宋" w:cs="仿宋"/>
          <w:sz w:val="32"/>
          <w:szCs w:val="32"/>
        </w:rPr>
      </w:pPr>
      <w:r>
        <w:rPr>
          <w:rFonts w:hint="eastAsia" w:ascii="仿宋" w:hAnsi="仿宋" w:eastAsia="仿宋" w:cs="仿宋"/>
          <w:sz w:val="32"/>
          <w:szCs w:val="32"/>
        </w:rPr>
        <w:t xml:space="preserve"> 2017年4月28日</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中国人民政治协商会议福州市委员会</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主席会议工作规则</w:t>
      </w:r>
    </w:p>
    <w:p>
      <w:pPr>
        <w:jc w:val="center"/>
        <w:rPr>
          <w:rFonts w:hint="eastAsia" w:ascii="楷体" w:hAnsi="楷体" w:eastAsia="楷体"/>
          <w:sz w:val="30"/>
          <w:szCs w:val="30"/>
          <w:lang w:eastAsia="zh-CN"/>
        </w:rPr>
      </w:pPr>
      <w:r>
        <w:rPr>
          <w:rFonts w:hint="eastAsia" w:ascii="楷体" w:hAnsi="楷体" w:eastAsia="楷体"/>
          <w:sz w:val="30"/>
          <w:szCs w:val="30"/>
          <w:lang w:eastAsia="zh-CN"/>
        </w:rPr>
        <w:t>（</w:t>
      </w:r>
      <w:r>
        <w:rPr>
          <w:rFonts w:hint="eastAsia" w:ascii="楷体" w:hAnsi="楷体" w:eastAsia="楷体"/>
          <w:sz w:val="30"/>
          <w:szCs w:val="30"/>
          <w:lang w:val="en-US" w:eastAsia="zh-CN"/>
        </w:rPr>
        <w:t>2017年4月27日经市政协十三届委员会第四次主席会议审议通过）</w:t>
      </w:r>
    </w:p>
    <w:p>
      <w:pPr>
        <w:jc w:val="center"/>
        <w:rPr>
          <w:rFonts w:ascii="楷体" w:hAnsi="楷体" w:eastAsia="楷体"/>
          <w:sz w:val="30"/>
          <w:szCs w:val="30"/>
        </w:rPr>
      </w:pPr>
    </w:p>
    <w:p>
      <w:pPr>
        <w:jc w:val="left"/>
        <w:rPr>
          <w:rFonts w:ascii="仿宋" w:hAnsi="仿宋" w:eastAsia="仿宋"/>
          <w:sz w:val="32"/>
          <w:szCs w:val="32"/>
        </w:rPr>
      </w:pPr>
      <w:r>
        <w:rPr>
          <w:rFonts w:hint="eastAsia" w:ascii="仿宋" w:hAnsi="仿宋" w:eastAsia="仿宋"/>
          <w:sz w:val="32"/>
          <w:szCs w:val="32"/>
        </w:rPr>
        <w:t xml:space="preserve">    第一条  为进一步推进中国人民政治协商会议福州市委员会主席会议工作的制度化、规范化和程序化建设，根据《中国人民政治协商会议章程》和《中国人民政治协商会议福州市委员会常务委员会工作规则》，参照《中国人民政治协商会议全国委员会主席会议工作规则》</w:t>
      </w:r>
      <w:r>
        <w:rPr>
          <w:rFonts w:hint="eastAsia" w:ascii="仿宋" w:hAnsi="仿宋" w:eastAsia="仿宋"/>
          <w:sz w:val="32"/>
          <w:szCs w:val="32"/>
          <w:lang w:eastAsia="zh-CN"/>
        </w:rPr>
        <w:t>和</w:t>
      </w:r>
      <w:r>
        <w:rPr>
          <w:rFonts w:hint="eastAsia" w:ascii="仿宋" w:hAnsi="仿宋" w:eastAsia="仿宋"/>
          <w:sz w:val="32"/>
          <w:szCs w:val="32"/>
        </w:rPr>
        <w:t>《中国人民政治协商会议福建省委员会主席会议工作规则》，结合实际工作需要，制定本规则。</w:t>
      </w:r>
    </w:p>
    <w:p>
      <w:pPr>
        <w:ind w:firstLine="640" w:firstLineChars="200"/>
        <w:rPr>
          <w:rFonts w:ascii="仿宋" w:hAnsi="仿宋" w:eastAsia="仿宋"/>
          <w:sz w:val="32"/>
          <w:szCs w:val="32"/>
        </w:rPr>
      </w:pPr>
      <w:r>
        <w:rPr>
          <w:rFonts w:hint="eastAsia" w:ascii="仿宋" w:hAnsi="仿宋" w:eastAsia="仿宋"/>
          <w:sz w:val="32"/>
          <w:szCs w:val="32"/>
        </w:rPr>
        <w:t>第二条  中国人民政治协商会议福州市委员会主席、副主席、秘书长组成主席会议，负责处理常务委员会的日常工作。主席主持主席会议的工作，副主席、秘书长协助主席工作。</w:t>
      </w:r>
    </w:p>
    <w:p>
      <w:pPr>
        <w:ind w:firstLine="640" w:firstLineChars="200"/>
        <w:rPr>
          <w:rFonts w:ascii="仿宋" w:hAnsi="仿宋" w:eastAsia="仿宋"/>
          <w:sz w:val="32"/>
          <w:szCs w:val="32"/>
        </w:rPr>
      </w:pPr>
      <w:r>
        <w:rPr>
          <w:rFonts w:hint="eastAsia" w:ascii="仿宋" w:hAnsi="仿宋" w:eastAsia="仿宋"/>
          <w:sz w:val="32"/>
          <w:szCs w:val="32"/>
        </w:rPr>
        <w:t>第三条  主席会议以中华人民共和国宪法为根本准则，以中国人民政治协商会议章程为依据，以马克思列宁主义、毛泽东思想、邓小平理论、“三个代表”重要思想、科学发展观为指导，深入学习贯彻习近平总书记系列重要讲话精神，坚持和完善中国共产党领导的多党合作和政治协商制度，高举爱国主义、社会主义的旗帜，围绕团结和民主两大主题，认真履行政治协商、民主监督、参政议政职能，服务统筹推进“五位一体”总体布局和协调推进“四个全面”战略布局，充分发挥人民政协作为协商民主重要渠道和专门协商机构的作用，巩固和发展最广泛的爱国统一战线，调动一切积极因素，为率先全面建成小康社会，加快建设“机制活、产业优、百姓富、生态美”的新福州而努力奋斗。</w:t>
      </w:r>
    </w:p>
    <w:p>
      <w:pPr>
        <w:ind w:firstLine="640" w:firstLineChars="200"/>
        <w:rPr>
          <w:rFonts w:ascii="仿宋" w:hAnsi="仿宋" w:eastAsia="仿宋"/>
          <w:sz w:val="32"/>
          <w:szCs w:val="32"/>
        </w:rPr>
      </w:pPr>
      <w:r>
        <w:rPr>
          <w:rFonts w:hint="eastAsia" w:ascii="仿宋" w:hAnsi="仿宋" w:eastAsia="仿宋"/>
          <w:sz w:val="32"/>
          <w:szCs w:val="32"/>
        </w:rPr>
        <w:t>第四条  主席会议组成人员要认真执行中国人民政治协商会议章程和政协福州市委员会、常务委员会、主席会议的规定、决议，切实履行职责，积极参加会议和活动、参加调查研究和视察考察、联系政协界别和委员，广交朋友，及时反映人民群众的意见和愿望。</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第五条  主席会议的主要任务：</w:t>
      </w:r>
    </w:p>
    <w:p>
      <w:pPr>
        <w:ind w:firstLine="640" w:firstLineChars="200"/>
        <w:rPr>
          <w:rFonts w:ascii="仿宋" w:hAnsi="仿宋" w:eastAsia="仿宋"/>
          <w:sz w:val="32"/>
          <w:szCs w:val="32"/>
        </w:rPr>
      </w:pPr>
      <w:r>
        <w:rPr>
          <w:rFonts w:hint="eastAsia" w:ascii="仿宋" w:hAnsi="仿宋" w:eastAsia="仿宋"/>
          <w:sz w:val="32"/>
          <w:szCs w:val="32"/>
        </w:rPr>
        <w:t>（一）学习中华人民共和国宪法，学习中国人民政治协商会议章程和有关规定，学习中国特色社会主义理论体系，学习统一战线和人民政协的理论和政策，传达贯彻中共中央、全国政协、中共福建省委、中共福州市委的重要文件和指示精神，学习经济、科技、文化、法律和现代管理知识；研究部署学习工作。</w:t>
      </w:r>
    </w:p>
    <w:p>
      <w:pPr>
        <w:ind w:firstLine="640" w:firstLineChars="200"/>
        <w:rPr>
          <w:rFonts w:ascii="仿宋" w:hAnsi="仿宋" w:eastAsia="仿宋"/>
          <w:sz w:val="32"/>
          <w:szCs w:val="32"/>
        </w:rPr>
      </w:pPr>
      <w:r>
        <w:rPr>
          <w:rFonts w:hint="eastAsia" w:ascii="仿宋" w:hAnsi="仿宋" w:eastAsia="仿宋"/>
          <w:sz w:val="32"/>
          <w:szCs w:val="32"/>
        </w:rPr>
        <w:t>（二）审议本届政协福州市委员会增加或者变更参加单位、委员名额和人选及各专门委员会主任、副主任人选，提请常务委员会协商决定；审议下一届政协福州市委员会的参加单位、委员名额和人选及界别设置，提请常务委员会协商决定；决定本届各专门委员会委员人选。</w:t>
      </w:r>
    </w:p>
    <w:p>
      <w:pPr>
        <w:rPr>
          <w:rFonts w:ascii="仿宋" w:hAnsi="仿宋" w:eastAsia="仿宋"/>
          <w:sz w:val="32"/>
          <w:szCs w:val="32"/>
        </w:rPr>
      </w:pPr>
      <w:r>
        <w:rPr>
          <w:rFonts w:hint="eastAsia" w:ascii="仿宋" w:hAnsi="仿宋" w:eastAsia="仿宋"/>
          <w:sz w:val="32"/>
          <w:szCs w:val="32"/>
        </w:rPr>
        <w:t xml:space="preserve">    （三）审议年度协商计划草案，安排协商活动</w:t>
      </w:r>
      <w:r>
        <w:rPr>
          <w:rFonts w:hint="eastAsia" w:ascii="仿宋" w:hAnsi="仿宋" w:eastAsia="仿宋"/>
          <w:sz w:val="32"/>
          <w:szCs w:val="32"/>
          <w:lang w:eastAsia="zh-CN"/>
        </w:rPr>
        <w:t>和民主监督活动</w:t>
      </w:r>
      <w:r>
        <w:rPr>
          <w:rFonts w:hint="eastAsia" w:ascii="仿宋" w:hAnsi="仿宋" w:eastAsia="仿宋"/>
          <w:sz w:val="32"/>
          <w:szCs w:val="32"/>
        </w:rPr>
        <w:t>，</w:t>
      </w:r>
      <w:r>
        <w:rPr>
          <w:rFonts w:hint="eastAsia" w:ascii="仿宋" w:hAnsi="仿宋" w:eastAsia="仿宋"/>
          <w:sz w:val="32"/>
          <w:szCs w:val="32"/>
          <w:lang w:eastAsia="zh-CN"/>
        </w:rPr>
        <w:t>议</w:t>
      </w:r>
      <w:r>
        <w:rPr>
          <w:rFonts w:hint="eastAsia" w:ascii="仿宋" w:hAnsi="仿宋" w:eastAsia="仿宋"/>
          <w:sz w:val="32"/>
          <w:szCs w:val="32"/>
        </w:rPr>
        <w:t>定协商形式和内容。</w:t>
      </w:r>
    </w:p>
    <w:p>
      <w:pPr>
        <w:ind w:firstLine="640" w:firstLineChars="200"/>
        <w:rPr>
          <w:rFonts w:ascii="仿宋" w:hAnsi="仿宋" w:eastAsia="仿宋"/>
          <w:sz w:val="32"/>
          <w:szCs w:val="32"/>
        </w:rPr>
      </w:pPr>
      <w:r>
        <w:rPr>
          <w:rFonts w:hint="eastAsia" w:ascii="仿宋" w:hAnsi="仿宋" w:eastAsia="仿宋"/>
          <w:sz w:val="32"/>
          <w:szCs w:val="32"/>
        </w:rPr>
        <w:t>（四）对</w:t>
      </w:r>
      <w:r>
        <w:rPr>
          <w:rFonts w:ascii="仿宋" w:hAnsi="仿宋" w:eastAsia="仿宋"/>
          <w:sz w:val="32"/>
          <w:szCs w:val="32"/>
        </w:rPr>
        <w:t>中共</w:t>
      </w:r>
      <w:r>
        <w:rPr>
          <w:rFonts w:hint="eastAsia" w:ascii="仿宋" w:hAnsi="仿宋" w:eastAsia="仿宋"/>
          <w:sz w:val="32"/>
          <w:szCs w:val="32"/>
        </w:rPr>
        <w:t>福州市</w:t>
      </w:r>
      <w:r>
        <w:rPr>
          <w:rFonts w:ascii="仿宋" w:hAnsi="仿宋" w:eastAsia="仿宋"/>
          <w:sz w:val="32"/>
          <w:szCs w:val="32"/>
        </w:rPr>
        <w:t>委、市人民政府重大方针政策以及事关全市经济社会发展的重大问题</w:t>
      </w:r>
      <w:r>
        <w:rPr>
          <w:rFonts w:hint="eastAsia" w:ascii="仿宋" w:hAnsi="仿宋" w:eastAsia="仿宋"/>
          <w:sz w:val="32"/>
          <w:szCs w:val="32"/>
        </w:rPr>
        <w:t>进行讨论，提出建议、意见或建议案。</w:t>
      </w:r>
    </w:p>
    <w:p>
      <w:pPr>
        <w:ind w:firstLine="640" w:firstLineChars="200"/>
        <w:rPr>
          <w:rFonts w:ascii="仿宋" w:hAnsi="仿宋" w:eastAsia="仿宋"/>
          <w:sz w:val="32"/>
          <w:szCs w:val="32"/>
        </w:rPr>
      </w:pPr>
      <w:r>
        <w:rPr>
          <w:rFonts w:hint="eastAsia" w:ascii="仿宋" w:hAnsi="仿宋" w:eastAsia="仿宋"/>
          <w:sz w:val="32"/>
          <w:szCs w:val="32"/>
        </w:rPr>
        <w:t>（五）审议以政协福州市委员会或常务委员会名义向中共福州市委、市人大常委会、市人民政府提出的重要建议案。</w:t>
      </w:r>
    </w:p>
    <w:p>
      <w:pPr>
        <w:ind w:firstLine="640" w:firstLineChars="200"/>
        <w:rPr>
          <w:rFonts w:ascii="仿宋" w:hAnsi="仿宋" w:eastAsia="仿宋"/>
          <w:sz w:val="32"/>
          <w:szCs w:val="32"/>
        </w:rPr>
      </w:pPr>
      <w:r>
        <w:rPr>
          <w:rFonts w:hint="eastAsia" w:ascii="仿宋" w:hAnsi="仿宋" w:eastAsia="仿宋"/>
          <w:sz w:val="32"/>
          <w:szCs w:val="32"/>
        </w:rPr>
        <w:t>（六）召集并主持常务委员会会议，拟定会议的议程草案和日程，审议提交会议审议的文件。</w:t>
      </w:r>
    </w:p>
    <w:p>
      <w:pPr>
        <w:ind w:firstLine="640" w:firstLineChars="200"/>
        <w:rPr>
          <w:rFonts w:ascii="仿宋" w:hAnsi="仿宋" w:eastAsia="仿宋"/>
          <w:sz w:val="32"/>
          <w:szCs w:val="32"/>
        </w:rPr>
      </w:pPr>
      <w:r>
        <w:rPr>
          <w:rFonts w:hint="eastAsia" w:ascii="仿宋" w:hAnsi="仿宋" w:eastAsia="仿宋"/>
          <w:sz w:val="32"/>
          <w:szCs w:val="32"/>
        </w:rPr>
        <w:t>（七）受常务委员会的委托，主持下一届第一次全体会议预备会议。</w:t>
      </w:r>
    </w:p>
    <w:p>
      <w:pPr>
        <w:ind w:firstLine="640" w:firstLineChars="200"/>
        <w:rPr>
          <w:rFonts w:ascii="仿宋" w:hAnsi="仿宋" w:eastAsia="仿宋"/>
          <w:sz w:val="32"/>
          <w:szCs w:val="32"/>
        </w:rPr>
      </w:pPr>
      <w:r>
        <w:rPr>
          <w:rFonts w:hint="eastAsia" w:ascii="仿宋" w:hAnsi="仿宋" w:eastAsia="仿宋"/>
          <w:sz w:val="32"/>
          <w:szCs w:val="32"/>
        </w:rPr>
        <w:t>（八）审议政协福州市委员会及其常务委员会的工作计划、工作报告和重要活动方案；审议提案工作情况的报告；审议专门委员会工作计划、工作总结和重要调研报告；审议政协福州市委员会对外交往工作计划、出访报告和工作总结；审议委员视察考察报告、工作总结和办公厅、调查研究室工作总结。</w:t>
      </w:r>
    </w:p>
    <w:p>
      <w:pPr>
        <w:ind w:firstLine="640" w:firstLineChars="200"/>
        <w:rPr>
          <w:rFonts w:ascii="仿宋" w:hAnsi="仿宋" w:eastAsia="仿宋"/>
          <w:sz w:val="32"/>
          <w:szCs w:val="32"/>
        </w:rPr>
      </w:pPr>
      <w:r>
        <w:rPr>
          <w:rFonts w:hint="eastAsia" w:ascii="仿宋" w:hAnsi="仿宋" w:eastAsia="仿宋"/>
          <w:sz w:val="32"/>
          <w:szCs w:val="32"/>
        </w:rPr>
        <w:t>（九）执行常务委员会会议的决议；根据常务委员会的授权，履行常务委员会的部分职权。</w:t>
      </w:r>
    </w:p>
    <w:p>
      <w:pPr>
        <w:ind w:firstLine="640" w:firstLineChars="200"/>
        <w:rPr>
          <w:rFonts w:ascii="仿宋" w:hAnsi="仿宋" w:eastAsia="仿宋"/>
          <w:sz w:val="32"/>
          <w:szCs w:val="32"/>
        </w:rPr>
      </w:pPr>
      <w:r>
        <w:rPr>
          <w:rFonts w:hint="eastAsia" w:ascii="仿宋" w:hAnsi="仿宋" w:eastAsia="仿宋"/>
          <w:sz w:val="32"/>
          <w:szCs w:val="32"/>
        </w:rPr>
        <w:t>（十）研究涉及市政协全局性的工作，对政协福州市委员会及全体会议、常务委员会的制度化、规范化、程序化建设提出建议，指导县（市）区政协的工作。</w:t>
      </w:r>
    </w:p>
    <w:p>
      <w:pPr>
        <w:ind w:firstLine="640" w:firstLineChars="200"/>
        <w:rPr>
          <w:rFonts w:ascii="仿宋" w:hAnsi="仿宋" w:eastAsia="仿宋"/>
          <w:sz w:val="32"/>
          <w:szCs w:val="32"/>
        </w:rPr>
      </w:pPr>
      <w:r>
        <w:rPr>
          <w:rFonts w:hint="eastAsia" w:ascii="仿宋" w:hAnsi="仿宋" w:eastAsia="仿宋"/>
          <w:sz w:val="32"/>
          <w:szCs w:val="32"/>
        </w:rPr>
        <w:t>（十一）协调政协各参加单位之间的关系，促进团结合作。</w:t>
      </w:r>
    </w:p>
    <w:p>
      <w:pPr>
        <w:ind w:firstLine="640" w:firstLineChars="200"/>
        <w:rPr>
          <w:rFonts w:ascii="仿宋" w:hAnsi="仿宋" w:eastAsia="仿宋"/>
          <w:sz w:val="32"/>
          <w:szCs w:val="32"/>
        </w:rPr>
      </w:pPr>
      <w:r>
        <w:rPr>
          <w:rFonts w:hint="eastAsia" w:ascii="仿宋" w:hAnsi="仿宋" w:eastAsia="仿宋"/>
          <w:sz w:val="32"/>
          <w:szCs w:val="32"/>
        </w:rPr>
        <w:t>（十二）处理常务委员会的其他重要日常工作。</w:t>
      </w:r>
    </w:p>
    <w:p>
      <w:pPr>
        <w:ind w:firstLine="640" w:firstLineChars="200"/>
        <w:rPr>
          <w:rFonts w:ascii="仿宋" w:hAnsi="仿宋" w:eastAsia="仿宋"/>
          <w:sz w:val="32"/>
          <w:szCs w:val="32"/>
        </w:rPr>
      </w:pPr>
      <w:r>
        <w:rPr>
          <w:rFonts w:hint="eastAsia" w:ascii="仿宋" w:hAnsi="仿宋" w:eastAsia="仿宋"/>
          <w:sz w:val="32"/>
          <w:szCs w:val="32"/>
        </w:rPr>
        <w:t>第六条  主席会议由主席或主席委托的副主席召集并主持。</w:t>
      </w:r>
    </w:p>
    <w:p>
      <w:pPr>
        <w:ind w:firstLine="640" w:firstLineChars="200"/>
        <w:rPr>
          <w:rFonts w:ascii="仿宋" w:hAnsi="仿宋" w:eastAsia="仿宋"/>
          <w:sz w:val="32"/>
          <w:szCs w:val="32"/>
        </w:rPr>
      </w:pPr>
      <w:r>
        <w:rPr>
          <w:rFonts w:hint="eastAsia" w:ascii="仿宋" w:hAnsi="仿宋" w:eastAsia="仿宋"/>
          <w:sz w:val="32"/>
          <w:szCs w:val="32"/>
        </w:rPr>
        <w:t>第七条  主席会议的议题由主席或副主席、秘书长提出，由主席或主席委托主持会议的副主席确定。</w:t>
      </w:r>
    </w:p>
    <w:p>
      <w:pPr>
        <w:ind w:firstLine="640" w:firstLineChars="200"/>
        <w:rPr>
          <w:rFonts w:ascii="仿宋" w:hAnsi="仿宋" w:eastAsia="仿宋"/>
          <w:sz w:val="32"/>
          <w:szCs w:val="32"/>
        </w:rPr>
      </w:pPr>
      <w:r>
        <w:rPr>
          <w:rFonts w:hint="eastAsia" w:ascii="仿宋" w:hAnsi="仿宋" w:eastAsia="仿宋"/>
          <w:sz w:val="32"/>
          <w:szCs w:val="32"/>
        </w:rPr>
        <w:t>第八条  主席会议一般每月举行一次；必要时可临时举行。</w:t>
      </w:r>
    </w:p>
    <w:p>
      <w:pPr>
        <w:ind w:firstLine="640" w:firstLineChars="200"/>
        <w:rPr>
          <w:rFonts w:ascii="仿宋" w:hAnsi="仿宋" w:eastAsia="仿宋"/>
          <w:sz w:val="32"/>
          <w:szCs w:val="32"/>
        </w:rPr>
      </w:pPr>
      <w:r>
        <w:rPr>
          <w:rFonts w:hint="eastAsia" w:ascii="仿宋" w:hAnsi="仿宋" w:eastAsia="仿宋"/>
          <w:sz w:val="32"/>
          <w:szCs w:val="32"/>
        </w:rPr>
        <w:t>第九条  主席会议开会时间、地点、主要议题等通知事项和提交会议审议的重要文件，办公厅应提前送达主席会议组成人员；临时举行的会议临时通知。</w:t>
      </w:r>
    </w:p>
    <w:p>
      <w:pPr>
        <w:ind w:firstLine="640" w:firstLineChars="200"/>
        <w:rPr>
          <w:rFonts w:ascii="仿宋" w:hAnsi="仿宋" w:eastAsia="仿宋"/>
          <w:sz w:val="32"/>
          <w:szCs w:val="32"/>
        </w:rPr>
      </w:pPr>
      <w:r>
        <w:rPr>
          <w:rFonts w:hint="eastAsia" w:ascii="仿宋" w:hAnsi="仿宋" w:eastAsia="仿宋"/>
          <w:sz w:val="32"/>
          <w:szCs w:val="32"/>
        </w:rPr>
        <w:t>第十条  主席会议举行时，政协福州市委员会副秘书长，办公厅主任、副主任，调查研究室主任，各专门委员会主任列席；必要时也可邀请与会议议题有关的其他人员列席；协商讨论重大问题时，可邀请有关部门负责人到会介绍情况、听取意见。</w:t>
      </w:r>
    </w:p>
    <w:p>
      <w:pPr>
        <w:ind w:firstLine="640" w:firstLineChars="200"/>
        <w:rPr>
          <w:rFonts w:ascii="仿宋" w:hAnsi="仿宋" w:eastAsia="仿宋"/>
          <w:sz w:val="32"/>
          <w:szCs w:val="32"/>
        </w:rPr>
      </w:pPr>
      <w:r>
        <w:rPr>
          <w:rFonts w:hint="eastAsia" w:ascii="仿宋" w:hAnsi="仿宋" w:eastAsia="仿宋"/>
          <w:sz w:val="32"/>
          <w:szCs w:val="32"/>
        </w:rPr>
        <w:t>第十一条  主席会议须在全体组成人员过半数出席时方能举行。</w:t>
      </w:r>
    </w:p>
    <w:p>
      <w:pPr>
        <w:ind w:firstLine="640" w:firstLineChars="200"/>
        <w:rPr>
          <w:rFonts w:ascii="仿宋" w:hAnsi="仿宋" w:eastAsia="仿宋"/>
          <w:sz w:val="32"/>
          <w:szCs w:val="32"/>
        </w:rPr>
      </w:pPr>
      <w:r>
        <w:rPr>
          <w:rFonts w:hint="eastAsia" w:ascii="仿宋" w:hAnsi="仿宋" w:eastAsia="仿宋"/>
          <w:sz w:val="32"/>
          <w:szCs w:val="32"/>
        </w:rPr>
        <w:t>第十二条  主席会议组成人员不能出席主席会议的，应当向主席或主席委托主持会议的副主席请假。</w:t>
      </w:r>
    </w:p>
    <w:p>
      <w:pPr>
        <w:ind w:firstLine="640" w:firstLineChars="200"/>
        <w:rPr>
          <w:rFonts w:ascii="仿宋" w:hAnsi="仿宋" w:eastAsia="仿宋"/>
          <w:sz w:val="32"/>
          <w:szCs w:val="32"/>
        </w:rPr>
      </w:pPr>
      <w:r>
        <w:rPr>
          <w:rFonts w:hint="eastAsia" w:ascii="仿宋" w:hAnsi="仿宋" w:eastAsia="仿宋"/>
          <w:sz w:val="32"/>
          <w:szCs w:val="32"/>
        </w:rPr>
        <w:t>第十三条  主席会议协商讨论问题，要充分发扬民主。讨论决定问题，必须坚持少数服从多数的原则；对于少数人的不同意见，应当认真考虑，深入沟通。如对重要问题发生争论，除紧急情况外，应当暂缓做出决定，待进一步调查研究、交换意见、统一认识后再做决定。会议应保密的内容，与会人员有保密责任。</w:t>
      </w:r>
    </w:p>
    <w:p>
      <w:pPr>
        <w:ind w:firstLine="640" w:firstLineChars="200"/>
        <w:rPr>
          <w:rFonts w:ascii="仿宋" w:hAnsi="仿宋" w:eastAsia="仿宋"/>
          <w:sz w:val="32"/>
          <w:szCs w:val="32"/>
        </w:rPr>
      </w:pPr>
      <w:r>
        <w:rPr>
          <w:rFonts w:hint="eastAsia" w:ascii="仿宋" w:hAnsi="仿宋" w:eastAsia="仿宋"/>
          <w:sz w:val="32"/>
          <w:szCs w:val="32"/>
        </w:rPr>
        <w:t>第十四条  主席会议决定问题时，一般以分项审议方式通过，必要时也可以合并审议通过。</w:t>
      </w:r>
    </w:p>
    <w:p>
      <w:pPr>
        <w:ind w:firstLine="640" w:firstLineChars="200"/>
        <w:rPr>
          <w:rFonts w:ascii="仿宋" w:hAnsi="仿宋" w:eastAsia="仿宋"/>
          <w:sz w:val="32"/>
          <w:szCs w:val="32"/>
        </w:rPr>
      </w:pPr>
      <w:r>
        <w:rPr>
          <w:rFonts w:hint="eastAsia" w:ascii="仿宋" w:hAnsi="仿宋" w:eastAsia="仿宋"/>
          <w:sz w:val="32"/>
          <w:szCs w:val="32"/>
        </w:rPr>
        <w:t>第十五条  对提请主席会议审议的文件，由相关负责人在主席会议上作出说明。书面审议的文件，可不作说明。</w:t>
      </w:r>
    </w:p>
    <w:p>
      <w:pPr>
        <w:ind w:firstLine="640" w:firstLineChars="200"/>
        <w:rPr>
          <w:rFonts w:ascii="仿宋" w:hAnsi="仿宋" w:eastAsia="仿宋"/>
          <w:sz w:val="32"/>
          <w:szCs w:val="32"/>
        </w:rPr>
      </w:pPr>
      <w:r>
        <w:rPr>
          <w:rFonts w:hint="eastAsia" w:ascii="仿宋" w:hAnsi="仿宋" w:eastAsia="仿宋"/>
          <w:sz w:val="32"/>
          <w:szCs w:val="32"/>
        </w:rPr>
        <w:t xml:space="preserve">第十六条  主席会议审议通过即发生效力的文件，由主席或主席委托的副主席签发，以政协福州市委员会文件或办公厅文件的形式送达有关方面或部门；主席会议审议通过后，需提请常务委员会会议审议通过的，在常务委员会会议上，由主席或主席委托的副主席、秘书长作出说明。 </w:t>
      </w:r>
    </w:p>
    <w:p>
      <w:pPr>
        <w:ind w:firstLine="640" w:firstLineChars="200"/>
        <w:rPr>
          <w:rFonts w:ascii="仿宋" w:hAnsi="仿宋" w:eastAsia="仿宋"/>
          <w:sz w:val="32"/>
          <w:szCs w:val="32"/>
        </w:rPr>
      </w:pPr>
      <w:r>
        <w:rPr>
          <w:rFonts w:hint="eastAsia" w:ascii="仿宋" w:hAnsi="仿宋" w:eastAsia="仿宋"/>
          <w:sz w:val="32"/>
          <w:szCs w:val="32"/>
        </w:rPr>
        <w:t>第十七条  举行主席会议，经主席或主席委托的副主席、秘书长同意，可发布新闻。</w:t>
      </w:r>
    </w:p>
    <w:p>
      <w:pPr>
        <w:ind w:firstLine="640" w:firstLineChars="200"/>
        <w:rPr>
          <w:rFonts w:ascii="仿宋" w:hAnsi="仿宋" w:eastAsia="仿宋"/>
          <w:sz w:val="32"/>
          <w:szCs w:val="32"/>
        </w:rPr>
      </w:pPr>
      <w:r>
        <w:rPr>
          <w:rFonts w:hint="eastAsia" w:ascii="仿宋" w:hAnsi="仿宋" w:eastAsia="仿宋"/>
          <w:sz w:val="32"/>
          <w:szCs w:val="32"/>
        </w:rPr>
        <w:t>第十八条  根据工作需要，召开主席办公会议，研究落实主席会议的具体工作任务</w:t>
      </w:r>
      <w:r>
        <w:rPr>
          <w:rFonts w:hint="eastAsia" w:ascii="仿宋" w:hAnsi="仿宋" w:eastAsia="仿宋"/>
          <w:sz w:val="32"/>
          <w:szCs w:val="32"/>
          <w:lang w:eastAsia="zh-CN"/>
        </w:rPr>
        <w:t>和市政协机关重要事务</w:t>
      </w:r>
      <w:r>
        <w:rPr>
          <w:rFonts w:hint="eastAsia" w:ascii="仿宋" w:hAnsi="仿宋" w:eastAsia="仿宋"/>
          <w:sz w:val="32"/>
          <w:szCs w:val="32"/>
        </w:rPr>
        <w:t>。主席办公会议由主席或主席委托的副主席召集并主持，主席、有关副主席、秘书长参加。根据议题需要，安排有关副秘书长，办公厅、调查研究室、专门委员会有关负责同志列席。会议的议题由主席或主席委托主持会议的副主席确定。</w:t>
      </w:r>
    </w:p>
    <w:p>
      <w:pPr>
        <w:ind w:firstLine="640" w:firstLineChars="200"/>
        <w:rPr>
          <w:rFonts w:ascii="仿宋" w:hAnsi="仿宋" w:eastAsia="仿宋"/>
          <w:sz w:val="32"/>
          <w:szCs w:val="32"/>
        </w:rPr>
      </w:pPr>
      <w:r>
        <w:rPr>
          <w:rFonts w:hint="eastAsia" w:ascii="仿宋" w:hAnsi="仿宋" w:eastAsia="仿宋"/>
          <w:sz w:val="32"/>
          <w:szCs w:val="32"/>
        </w:rPr>
        <w:t>第十九条  主席会议和主席办公会议由市政协办公厅秘书处作会议记录并编发会议纪要。会议纪要由主席或主席委托的副主席签发。</w:t>
      </w:r>
    </w:p>
    <w:p>
      <w:pPr>
        <w:spacing w:line="560" w:lineRule="exact"/>
        <w:ind w:firstLine="660"/>
        <w:rPr>
          <w:rFonts w:ascii="仿宋" w:hAnsi="仿宋" w:eastAsia="仿宋"/>
          <w:sz w:val="32"/>
          <w:szCs w:val="32"/>
        </w:rPr>
      </w:pPr>
      <w:r>
        <w:rPr>
          <w:rFonts w:hint="eastAsia" w:ascii="仿宋" w:hAnsi="仿宋" w:eastAsia="仿宋"/>
          <w:sz w:val="32"/>
          <w:szCs w:val="32"/>
        </w:rPr>
        <w:t>第二十条   主席会议作出的决定，由主席、副主席、秘书长分工负责实施。在实施中，市政协办公厅应加强督促检查和情况反馈。根据实施情况，需对某项决定进行调整或变更的，应提交下一次主席会议审议决定。</w:t>
      </w:r>
    </w:p>
    <w:p>
      <w:pPr>
        <w:ind w:firstLine="640" w:firstLineChars="200"/>
        <w:rPr>
          <w:rFonts w:ascii="仿宋" w:hAnsi="仿宋" w:eastAsia="仿宋"/>
          <w:sz w:val="32"/>
          <w:szCs w:val="32"/>
        </w:rPr>
      </w:pPr>
      <w:r>
        <w:rPr>
          <w:rFonts w:hint="eastAsia" w:ascii="仿宋" w:hAnsi="仿宋" w:eastAsia="仿宋"/>
          <w:sz w:val="32"/>
          <w:szCs w:val="32"/>
        </w:rPr>
        <w:t>第二十一条  本规则经政协福州市委员会主席会议通过后施行。</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p>
      <w:pPr>
        <w:spacing w:line="600" w:lineRule="exact"/>
        <w:ind w:right="1280"/>
        <w:rPr>
          <w:rFonts w:hint="eastAsia" w:ascii="仿宋_GB2312" w:hAnsi="仿宋_GB2312" w:cs="仿宋_GB2312"/>
        </w:rPr>
      </w:pPr>
    </w:p>
    <w:tbl>
      <w:tblPr>
        <w:tblStyle w:val="7"/>
        <w:tblW w:w="9317"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12" w:space="0"/>
        </w:tblBorders>
        <w:tblLayout w:type="fixed"/>
        <w:tblCellMar>
          <w:top w:w="0" w:type="dxa"/>
          <w:left w:w="108" w:type="dxa"/>
          <w:bottom w:w="0" w:type="dxa"/>
          <w:right w:w="108" w:type="dxa"/>
        </w:tblCellMar>
      </w:tblPr>
      <w:tblGrid>
        <w:gridCol w:w="9317"/>
      </w:tblGrid>
      <w:tr>
        <w:tblPrEx>
          <w:tblBorders>
            <w:top w:val="single" w:color="auto" w:sz="12" w:space="0"/>
            <w:left w:val="none" w:color="auto" w:sz="0" w:space="0"/>
            <w:bottom w:val="single" w:color="auto" w:sz="12" w:space="0"/>
            <w:right w:val="none" w:color="auto" w:sz="0" w:space="0"/>
            <w:insideH w:val="single" w:color="auto" w:sz="8" w:space="0"/>
            <w:insideV w:val="single" w:color="auto" w:sz="12" w:space="0"/>
          </w:tblBorders>
          <w:tblLayout w:type="fixed"/>
        </w:tblPrEx>
        <w:tc>
          <w:tcPr>
            <w:tcW w:w="9317" w:type="dxa"/>
            <w:vAlign w:val="top"/>
          </w:tcPr>
          <w:p>
            <w:pPr>
              <w:spacing w:line="500" w:lineRule="exact"/>
              <w:ind w:left="957" w:leftChars="0" w:right="160" w:hanging="957" w:hangingChars="34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抄送：主席、副主席、秘书长、副秘书长；办公厅、调研室各处室；各专门委员会办公室；存档。</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12" w:space="0"/>
          </w:tblBorders>
          <w:tblLayout w:type="fixed"/>
        </w:tblPrEx>
        <w:tc>
          <w:tcPr>
            <w:tcW w:w="9317" w:type="dxa"/>
            <w:vAlign w:val="top"/>
          </w:tcPr>
          <w:p>
            <w:pPr>
              <w:spacing w:line="500" w:lineRule="exact"/>
              <w:ind w:right="1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福州市政协办公厅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2017年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日印发</w:t>
            </w:r>
          </w:p>
        </w:tc>
      </w:tr>
    </w:tbl>
    <w:p>
      <w:pPr>
        <w:rPr>
          <w:rFonts w:ascii="仿宋" w:hAnsi="仿宋" w:eastAsia="仿宋"/>
          <w:sz w:val="32"/>
          <w:szCs w:val="32"/>
        </w:rPr>
      </w:pPr>
    </w:p>
    <w:sectPr>
      <w:headerReference r:id="rId3" w:type="default"/>
      <w:footerReference r:id="rId4" w:type="default"/>
      <w:footerReference r:id="rId5" w:type="even"/>
      <w:pgSz w:w="11906" w:h="16838"/>
      <w:pgMar w:top="2041" w:right="1417" w:bottom="1417" w:left="1417" w:header="851"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Kozuka Mincho Pro H">
    <w:altName w:val="MS Mincho"/>
    <w:panose1 w:val="00000000000000000000"/>
    <w:charset w:val="80"/>
    <w:family w:val="roman"/>
    <w:pitch w:val="default"/>
    <w:sig w:usb0="00000000" w:usb1="00000000" w:usb2="00000010" w:usb3="00000000" w:csb0="00020005" w:csb1="00000000"/>
  </w:font>
  <w:font w:name="MS Mincho">
    <w:panose1 w:val="02020609040205080304"/>
    <w:charset w:val="80"/>
    <w:family w:val="auto"/>
    <w:pitch w:val="default"/>
    <w:sig w:usb0="A00002BF" w:usb1="68C7FCFB" w:usb2="00000010" w:usb3="00000000" w:csb0="4002009F" w:csb1="DFD70000"/>
  </w:font>
  <w:font w:name="MS Gothic">
    <w:panose1 w:val="020B06090702050802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6"/>
                            </w:rPr>
                          </w:pPr>
                          <w:r>
                            <w:rPr>
                              <w:rStyle w:val="6"/>
                              <w:rFonts w:hint="eastAsia" w:asciiTheme="majorEastAsia" w:hAnsiTheme="majorEastAsia" w:eastAsiaTheme="majorEastAsia" w:cstheme="majorEastAsia"/>
                              <w:sz w:val="28"/>
                              <w:szCs w:val="28"/>
                            </w:rPr>
                            <w:fldChar w:fldCharType="begin"/>
                          </w:r>
                          <w:r>
                            <w:rPr>
                              <w:rStyle w:val="6"/>
                              <w:rFonts w:hint="eastAsia" w:asciiTheme="majorEastAsia" w:hAnsiTheme="majorEastAsia" w:eastAsiaTheme="majorEastAsia" w:cstheme="majorEastAsia"/>
                              <w:sz w:val="28"/>
                              <w:szCs w:val="28"/>
                            </w:rPr>
                            <w:instrText xml:space="preserve">PAGE  </w:instrText>
                          </w:r>
                          <w:r>
                            <w:rPr>
                              <w:rStyle w:val="6"/>
                              <w:rFonts w:hint="eastAsia" w:asciiTheme="majorEastAsia" w:hAnsiTheme="majorEastAsia" w:eastAsiaTheme="majorEastAsia" w:cstheme="majorEastAsia"/>
                              <w:sz w:val="28"/>
                              <w:szCs w:val="28"/>
                            </w:rPr>
                            <w:fldChar w:fldCharType="separate"/>
                          </w:r>
                          <w:r>
                            <w:rPr>
                              <w:rStyle w:val="6"/>
                              <w:rFonts w:hint="eastAsia" w:asciiTheme="majorEastAsia" w:hAnsiTheme="majorEastAsia" w:eastAsiaTheme="majorEastAsia" w:cstheme="majorEastAsia"/>
                              <w:sz w:val="28"/>
                              <w:szCs w:val="28"/>
                            </w:rPr>
                            <w:t>7</w:t>
                          </w:r>
                          <w:r>
                            <w:rPr>
                              <w:rStyle w:val="6"/>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Style w:val="6"/>
                      </w:rPr>
                    </w:pPr>
                    <w:r>
                      <w:rPr>
                        <w:rStyle w:val="6"/>
                        <w:rFonts w:hint="eastAsia" w:asciiTheme="majorEastAsia" w:hAnsiTheme="majorEastAsia" w:eastAsiaTheme="majorEastAsia" w:cstheme="majorEastAsia"/>
                        <w:sz w:val="28"/>
                        <w:szCs w:val="28"/>
                      </w:rPr>
                      <w:fldChar w:fldCharType="begin"/>
                    </w:r>
                    <w:r>
                      <w:rPr>
                        <w:rStyle w:val="6"/>
                        <w:rFonts w:hint="eastAsia" w:asciiTheme="majorEastAsia" w:hAnsiTheme="majorEastAsia" w:eastAsiaTheme="majorEastAsia" w:cstheme="majorEastAsia"/>
                        <w:sz w:val="28"/>
                        <w:szCs w:val="28"/>
                      </w:rPr>
                      <w:instrText xml:space="preserve">PAGE  </w:instrText>
                    </w:r>
                    <w:r>
                      <w:rPr>
                        <w:rStyle w:val="6"/>
                        <w:rFonts w:hint="eastAsia" w:asciiTheme="majorEastAsia" w:hAnsiTheme="majorEastAsia" w:eastAsiaTheme="majorEastAsia" w:cstheme="majorEastAsia"/>
                        <w:sz w:val="28"/>
                        <w:szCs w:val="28"/>
                      </w:rPr>
                      <w:fldChar w:fldCharType="separate"/>
                    </w:r>
                    <w:r>
                      <w:rPr>
                        <w:rStyle w:val="6"/>
                        <w:rFonts w:hint="eastAsia" w:asciiTheme="majorEastAsia" w:hAnsiTheme="majorEastAsia" w:eastAsiaTheme="majorEastAsia" w:cstheme="majorEastAsia"/>
                        <w:sz w:val="28"/>
                        <w:szCs w:val="28"/>
                      </w:rPr>
                      <w:t>7</w:t>
                    </w:r>
                    <w:r>
                      <w:rPr>
                        <w:rStyle w:val="6"/>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8B"/>
    <w:rsid w:val="000033F8"/>
    <w:rsid w:val="0000463A"/>
    <w:rsid w:val="000721B0"/>
    <w:rsid w:val="0008029A"/>
    <w:rsid w:val="000827EF"/>
    <w:rsid w:val="000B324D"/>
    <w:rsid w:val="000D4067"/>
    <w:rsid w:val="000E3373"/>
    <w:rsid w:val="001156F6"/>
    <w:rsid w:val="001734F1"/>
    <w:rsid w:val="001A0FA5"/>
    <w:rsid w:val="001A21F1"/>
    <w:rsid w:val="001C6CD8"/>
    <w:rsid w:val="001E48C3"/>
    <w:rsid w:val="001F4138"/>
    <w:rsid w:val="00217A1B"/>
    <w:rsid w:val="002563A7"/>
    <w:rsid w:val="00270C12"/>
    <w:rsid w:val="00271377"/>
    <w:rsid w:val="00281C18"/>
    <w:rsid w:val="002871F8"/>
    <w:rsid w:val="00287BCB"/>
    <w:rsid w:val="002A41E6"/>
    <w:rsid w:val="002D413C"/>
    <w:rsid w:val="002E35E3"/>
    <w:rsid w:val="002E63E0"/>
    <w:rsid w:val="002F7DE4"/>
    <w:rsid w:val="00320FCC"/>
    <w:rsid w:val="00330058"/>
    <w:rsid w:val="0036291B"/>
    <w:rsid w:val="003671A6"/>
    <w:rsid w:val="00381292"/>
    <w:rsid w:val="003919B6"/>
    <w:rsid w:val="003A2571"/>
    <w:rsid w:val="003A4DF4"/>
    <w:rsid w:val="003B3A14"/>
    <w:rsid w:val="003C522A"/>
    <w:rsid w:val="003E724B"/>
    <w:rsid w:val="003F704A"/>
    <w:rsid w:val="0042043B"/>
    <w:rsid w:val="00461D85"/>
    <w:rsid w:val="00482CB3"/>
    <w:rsid w:val="004919B8"/>
    <w:rsid w:val="00496099"/>
    <w:rsid w:val="0049612E"/>
    <w:rsid w:val="00496BC6"/>
    <w:rsid w:val="004C62D5"/>
    <w:rsid w:val="004C6799"/>
    <w:rsid w:val="004E34E0"/>
    <w:rsid w:val="005220FC"/>
    <w:rsid w:val="00524D7D"/>
    <w:rsid w:val="005421E4"/>
    <w:rsid w:val="0055232B"/>
    <w:rsid w:val="005671A5"/>
    <w:rsid w:val="005713C4"/>
    <w:rsid w:val="005915F2"/>
    <w:rsid w:val="005C6C1A"/>
    <w:rsid w:val="00657695"/>
    <w:rsid w:val="0069387F"/>
    <w:rsid w:val="006A49B3"/>
    <w:rsid w:val="006A6DA6"/>
    <w:rsid w:val="006A7D5A"/>
    <w:rsid w:val="00703723"/>
    <w:rsid w:val="00703995"/>
    <w:rsid w:val="00717ABC"/>
    <w:rsid w:val="0073535C"/>
    <w:rsid w:val="0073734B"/>
    <w:rsid w:val="0076178D"/>
    <w:rsid w:val="00775053"/>
    <w:rsid w:val="00782D78"/>
    <w:rsid w:val="007F23E4"/>
    <w:rsid w:val="00805CD3"/>
    <w:rsid w:val="00844ECA"/>
    <w:rsid w:val="008566A9"/>
    <w:rsid w:val="0086589E"/>
    <w:rsid w:val="00876AE0"/>
    <w:rsid w:val="008835A9"/>
    <w:rsid w:val="00886447"/>
    <w:rsid w:val="008B0F5C"/>
    <w:rsid w:val="008F454F"/>
    <w:rsid w:val="008F5469"/>
    <w:rsid w:val="0091301B"/>
    <w:rsid w:val="009136CB"/>
    <w:rsid w:val="009666C5"/>
    <w:rsid w:val="00971AA8"/>
    <w:rsid w:val="009927B0"/>
    <w:rsid w:val="00993B2C"/>
    <w:rsid w:val="009A4240"/>
    <w:rsid w:val="009C2DFB"/>
    <w:rsid w:val="009E33D5"/>
    <w:rsid w:val="00A24322"/>
    <w:rsid w:val="00A524ED"/>
    <w:rsid w:val="00A9277A"/>
    <w:rsid w:val="00A95DC6"/>
    <w:rsid w:val="00AA1735"/>
    <w:rsid w:val="00AA45EE"/>
    <w:rsid w:val="00B1128B"/>
    <w:rsid w:val="00B25396"/>
    <w:rsid w:val="00B636C8"/>
    <w:rsid w:val="00B643D8"/>
    <w:rsid w:val="00B77BE1"/>
    <w:rsid w:val="00BA3164"/>
    <w:rsid w:val="00BA62D8"/>
    <w:rsid w:val="00BA6B97"/>
    <w:rsid w:val="00BA6DD9"/>
    <w:rsid w:val="00C1068E"/>
    <w:rsid w:val="00C5512F"/>
    <w:rsid w:val="00C636CB"/>
    <w:rsid w:val="00C66F0F"/>
    <w:rsid w:val="00C72ED2"/>
    <w:rsid w:val="00C92D3D"/>
    <w:rsid w:val="00CA305A"/>
    <w:rsid w:val="00CE00B7"/>
    <w:rsid w:val="00CE5D46"/>
    <w:rsid w:val="00D22A9D"/>
    <w:rsid w:val="00D62D07"/>
    <w:rsid w:val="00D70F70"/>
    <w:rsid w:val="00DA2E07"/>
    <w:rsid w:val="00DB254E"/>
    <w:rsid w:val="00DE482A"/>
    <w:rsid w:val="00DE6E9A"/>
    <w:rsid w:val="00DF0EEB"/>
    <w:rsid w:val="00E342F5"/>
    <w:rsid w:val="00E93D70"/>
    <w:rsid w:val="00EB51D7"/>
    <w:rsid w:val="00EC1B14"/>
    <w:rsid w:val="00F02B1A"/>
    <w:rsid w:val="00F4221A"/>
    <w:rsid w:val="00F94A0A"/>
    <w:rsid w:val="00FB6F5B"/>
    <w:rsid w:val="00FD38B6"/>
    <w:rsid w:val="00FE11DB"/>
    <w:rsid w:val="09E7538F"/>
    <w:rsid w:val="0DB63CA9"/>
    <w:rsid w:val="32067ABC"/>
    <w:rsid w:val="518A4F71"/>
    <w:rsid w:val="567B1D96"/>
    <w:rsid w:val="60115600"/>
    <w:rsid w:val="64A814B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页眉 Char"/>
    <w:basedOn w:val="5"/>
    <w:link w:val="4"/>
    <w:qFormat/>
    <w:uiPriority w:val="0"/>
    <w:rPr>
      <w:rFonts w:ascii="Times New Roman" w:hAnsi="Times New Roman" w:eastAsia="宋体" w:cs="Times New Roman"/>
      <w:sz w:val="18"/>
      <w:szCs w:val="18"/>
    </w:rPr>
  </w:style>
  <w:style w:type="character" w:customStyle="1" w:styleId="10">
    <w:name w:val="页脚 Char"/>
    <w:basedOn w:val="5"/>
    <w:link w:val="3"/>
    <w:qFormat/>
    <w:uiPriority w:val="0"/>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ABC2B-EAB3-4C3D-922B-8C08482FDF9C}">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411</Words>
  <Characters>2344</Characters>
  <Lines>19</Lines>
  <Paragraphs>5</Paragraphs>
  <ScaleCrop>false</ScaleCrop>
  <LinksUpToDate>false</LinksUpToDate>
  <CharactersWithSpaces>2750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2017-03-07T11:25:00Z</dcterms:created>
  <dc:creator>admin</dc:creator>
  <cp:lastModifiedBy>Administrator</cp:lastModifiedBy>
  <cp:lastPrinted>2017-05-03T08:57:00Z</cp:lastPrinted>
  <dcterms:modified xsi:type="dcterms:W3CDTF">2017-05-03T16:17:14Z</dcterms:modified>
  <dc:title>榕协办〔2017〕   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